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1A2AE146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</w:t>
      </w:r>
      <w:r w:rsidR="00F14F81">
        <w:rPr>
          <w:rFonts w:ascii="Corbel" w:hAnsi="Corbel" w:cs="Corbel"/>
          <w:b/>
          <w:bCs/>
          <w:smallCaps/>
        </w:rPr>
        <w:t>19</w:t>
      </w:r>
      <w:r w:rsidRPr="00BC401A">
        <w:rPr>
          <w:rFonts w:ascii="Corbel" w:hAnsi="Corbel" w:cs="Corbel"/>
          <w:b/>
          <w:bCs/>
          <w:smallCaps/>
        </w:rPr>
        <w:t>-202</w:t>
      </w:r>
      <w:r w:rsidR="00F14F81">
        <w:rPr>
          <w:rFonts w:ascii="Corbel" w:hAnsi="Corbel" w:cs="Corbel"/>
          <w:b/>
          <w:bCs/>
          <w:smallCaps/>
        </w:rPr>
        <w:t>2</w:t>
      </w:r>
      <w:r w:rsidRPr="00BC401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50202949" w14:textId="36FACE2D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</w:t>
      </w:r>
      <w:r w:rsidR="00F14F81">
        <w:rPr>
          <w:rFonts w:ascii="Corbel" w:hAnsi="Corbel" w:cs="Corbel"/>
        </w:rPr>
        <w:t>19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F14F81">
        <w:rPr>
          <w:rFonts w:ascii="Corbel" w:hAnsi="Corbel" w:cs="Corbel"/>
        </w:rPr>
        <w:t>0</w:t>
      </w:r>
      <w:bookmarkStart w:id="0" w:name="_GoBack"/>
      <w:bookmarkEnd w:id="0"/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401A">
              <w:rPr>
                <w:rFonts w:ascii="Corbel" w:hAnsi="Corbel" w:cs="Corbel"/>
              </w:rPr>
              <w:t>FiR</w:t>
            </w:r>
            <w:proofErr w:type="spellEnd"/>
            <w:r w:rsidRPr="00BC401A">
              <w:rPr>
                <w:rFonts w:ascii="Corbel" w:hAnsi="Corbel" w:cs="Corbel"/>
              </w:rPr>
              <w:t>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29CEF68F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Bogusława Sebastianka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gr Magdalena </w:t>
            </w:r>
            <w:proofErr w:type="spellStart"/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BC401A">
        <w:rPr>
          <w:rFonts w:ascii="Corbel" w:hAnsi="Corbel" w:cs="Corbel"/>
        </w:rPr>
        <w:t>ECTS</w:t>
      </w:r>
      <w:proofErr w:type="spellEnd"/>
      <w:r w:rsidRPr="00BC401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BC401A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4E00010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Kategorie: gospodarka i polityka finansowa, zwrotne i bezzwrotne źródła gromadzenia i </w:t>
            </w: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Laffera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Szczeble samorządu terytorialnego i ich zadania, źródła finansowania zadań lokalnych i regionalnych; samodzielność finansowa i zadłużenie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; ocena gospodarki finansowej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0A28A7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- ocena aktywności na zajęciach </w:t>
            </w:r>
          </w:p>
          <w:p w14:paraId="66A7DE8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przygotowanych referatów i ich prezentacji oraz pracy w grupie</w:t>
            </w:r>
          </w:p>
          <w:p w14:paraId="5110202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z pisemnego testu zaliczeniowego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891FA1A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 i ćwiczeń.</w:t>
            </w:r>
          </w:p>
          <w:p w14:paraId="03347F4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3,0 wymaga uzyskania efektów kształcenia z zakresu wiedzy i umiejętności objętych programem kształcenia na poziomie podstawowym (55% punktów z testu).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C401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BC401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45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</w:t>
            </w:r>
            <w:proofErr w:type="spellStart"/>
            <w:r w:rsidRPr="00BC401A">
              <w:rPr>
                <w:rFonts w:ascii="Corbel" w:hAnsi="Corbel" w:cs="Corbel"/>
              </w:rPr>
              <w:t>niekontaktowe</w:t>
            </w:r>
            <w:proofErr w:type="spellEnd"/>
            <w:r w:rsidRPr="00BC401A">
              <w:rPr>
                <w:rFonts w:ascii="Corbel" w:hAnsi="Corbel" w:cs="Corbel"/>
              </w:rPr>
              <w:t xml:space="preserve"> – praca własna </w:t>
            </w:r>
            <w:r w:rsidRPr="00BC401A">
              <w:rPr>
                <w:rFonts w:ascii="Corbel" w:hAnsi="Corbel" w:cs="Corbel"/>
              </w:rPr>
              <w:lastRenderedPageBreak/>
              <w:t>studenta (przygotowanie do zajęć, testu, napisanie referatu)</w:t>
            </w:r>
          </w:p>
        </w:tc>
        <w:tc>
          <w:tcPr>
            <w:tcW w:w="4677" w:type="dxa"/>
          </w:tcPr>
          <w:p w14:paraId="680727F5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lastRenderedPageBreak/>
              <w:t>53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BC401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BC401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6B83C02C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4AE26B4B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J.E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., Ekonomia sektora publicznego, Wydawnictwo Naukowe PWN, Warszawa 2007.</w:t>
            </w:r>
          </w:p>
          <w:p w14:paraId="6B3B00CC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M., Zioło M., Finanse publiczne. Aspekty teoretyczne i praktyczne,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CH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Beck, Warszawa 2014. 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26663" w14:textId="77777777" w:rsidR="003465F6" w:rsidRDefault="003465F6">
      <w:r>
        <w:separator/>
      </w:r>
    </w:p>
  </w:endnote>
  <w:endnote w:type="continuationSeparator" w:id="0">
    <w:p w14:paraId="297D548B" w14:textId="77777777" w:rsidR="003465F6" w:rsidRDefault="0034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04789" w14:textId="77777777" w:rsidR="003465F6" w:rsidRDefault="003465F6">
      <w:r>
        <w:separator/>
      </w:r>
    </w:p>
  </w:footnote>
  <w:footnote w:type="continuationSeparator" w:id="0">
    <w:p w14:paraId="3B40D10F" w14:textId="77777777" w:rsidR="003465F6" w:rsidRDefault="00346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215CF3"/>
    <w:rsid w:val="0024175A"/>
    <w:rsid w:val="002466A2"/>
    <w:rsid w:val="002805B5"/>
    <w:rsid w:val="003465F6"/>
    <w:rsid w:val="00431887"/>
    <w:rsid w:val="005B152F"/>
    <w:rsid w:val="00677045"/>
    <w:rsid w:val="006C099B"/>
    <w:rsid w:val="00723CA9"/>
    <w:rsid w:val="0081491A"/>
    <w:rsid w:val="0083242D"/>
    <w:rsid w:val="008A3F09"/>
    <w:rsid w:val="008D75F7"/>
    <w:rsid w:val="009271B4"/>
    <w:rsid w:val="0098604D"/>
    <w:rsid w:val="009A3981"/>
    <w:rsid w:val="009C54AE"/>
    <w:rsid w:val="009E7CFD"/>
    <w:rsid w:val="00AB6449"/>
    <w:rsid w:val="00AD6C6C"/>
    <w:rsid w:val="00B8091A"/>
    <w:rsid w:val="00B947F8"/>
    <w:rsid w:val="00BC401A"/>
    <w:rsid w:val="00C47001"/>
    <w:rsid w:val="00CE5EBD"/>
    <w:rsid w:val="00E960BB"/>
    <w:rsid w:val="00EA4832"/>
    <w:rsid w:val="00EC1CBE"/>
    <w:rsid w:val="00F14F81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1283</Words>
  <Characters>7698</Characters>
  <Application>Microsoft Office Word</Application>
  <DocSecurity>0</DocSecurity>
  <Lines>64</Lines>
  <Paragraphs>17</Paragraphs>
  <ScaleCrop>false</ScaleCrop>
  <Company>Właściciel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Lencka Elżbieta</cp:lastModifiedBy>
  <cp:revision>14</cp:revision>
  <dcterms:created xsi:type="dcterms:W3CDTF">2020-10-29T18:00:00Z</dcterms:created>
  <dcterms:modified xsi:type="dcterms:W3CDTF">2021-11-04T13:09:00Z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